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Arial Narrow" w:hAnsi="Arial Narrow"/>
        </w:rPr>
      </w:pPr>
    </w:p>
    <w:p>
      <w:pPr>
        <w:jc w:val="right"/>
        <w:rPr>
          <w:rFonts w:ascii="Arial Narrow" w:hAnsi="Arial Narrow"/>
          <w:sz w:val="20"/>
        </w:rPr>
      </w:pPr>
      <w:bookmarkStart w:id="0" w:name="_GoBack"/>
      <w:r>
        <w:rPr>
          <w:rFonts w:ascii="Arial Narrow" w:hAnsi="Arial Narrow"/>
          <w:b/>
          <w:sz w:val="20"/>
        </w:rPr>
        <w:t>Załącznik nr 8</w:t>
      </w:r>
      <w:r>
        <w:rPr>
          <w:rFonts w:ascii="Arial Narrow" w:hAnsi="Arial Narrow"/>
          <w:sz w:val="20"/>
        </w:rPr>
        <w:t xml:space="preserve"> do Regulaminu Świadczenia Usług </w:t>
      </w:r>
      <w:r>
        <w:rPr>
          <w:rFonts w:ascii="Arial Narrow" w:hAnsi="Arial Narrow"/>
          <w:sz w:val="20"/>
        </w:rPr>
        <w:br/>
        <w:t>OWIES w Elblągu - Ocena potencjału grup inicjatywach</w:t>
      </w:r>
    </w:p>
    <w:bookmarkEnd w:id="0"/>
    <w:p>
      <w:pPr>
        <w:rPr>
          <w:rFonts w:ascii="Arial Narrow" w:hAnsi="Arial Narrow"/>
        </w:rPr>
      </w:pPr>
    </w:p>
    <w:p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Niniejszy załącznik określa zasady oceny potencjału Grupy Inicjatywnej przystępującej do konkursu w ramach Funduszu Przedsiębiorczości Społecznej w zakresie kompetencji zawodowych, biznesowych oraz kompetencji społeczno-interpersonalnych w ramach planowanego przedsięwzięcia – pomysłu na biznes w formie przedsiębiorstwa społecznego. </w:t>
      </w:r>
    </w:p>
    <w:p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Grupa Inicjatywna, która ukończyła ścieżkę szkoleniowo-doradczą oraz uzyskała pozytywną ocenę doradcy kluczowego/biznesowego na podstawie dokumentu plan wsparcia – monitoring postępów oraz złożyła formularz rekrutacyjny do FPS, kierowana jest na posiedzenie Komisji Oceny Wniosków – Komisję Oceny Potencjału, która dokona jej oceny. </w:t>
      </w:r>
    </w:p>
    <w:p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W skład Komisji wchodzą przedstawiciele Operatora, m.in: Kierownik FPS, specjalista ds. wsparcia finansowego PS, specjalista ds. dotacji i pomocy de </w:t>
      </w:r>
      <w:proofErr w:type="spellStart"/>
      <w:r>
        <w:rPr>
          <w:rFonts w:ascii="Arial Narrow" w:hAnsi="Arial Narrow"/>
          <w:szCs w:val="24"/>
        </w:rPr>
        <w:t>minimis</w:t>
      </w:r>
      <w:proofErr w:type="spellEnd"/>
      <w:r>
        <w:rPr>
          <w:rFonts w:ascii="Arial Narrow" w:hAnsi="Arial Narrow"/>
          <w:szCs w:val="24"/>
        </w:rPr>
        <w:t>, doradca zawodowy, interpersonalny, doradca biznesowy.</w:t>
      </w:r>
    </w:p>
    <w:p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Członkowie Komisji nie mogą być związani z Wnioskodawcom stosunkiem służbowym lub osobistym (związkiem małżeńskim, stosunkiem pokrewieństwa i powinowactwa i/lub związkiem z tytułu przysposobienia, opieki lub kurateli), takiego rodzaju, który mógłby wywołać wątpliwości co do bezstronności przeprowadzonych czynności. Członkowie Komisji zobowiązani są do podpisania </w:t>
      </w:r>
      <w:r>
        <w:rPr>
          <w:rFonts w:ascii="Arial Narrow" w:hAnsi="Arial Narrow"/>
          <w:i/>
          <w:szCs w:val="24"/>
        </w:rPr>
        <w:t>Deklaracji bezstronności i poufności.</w:t>
      </w:r>
    </w:p>
    <w:p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Komisja dokuje oceny potencjału Grupy Inicjatywnej w oparciu o następujące kryteria: </w:t>
      </w:r>
    </w:p>
    <w:p>
      <w:pPr>
        <w:spacing w:after="0"/>
        <w:rPr>
          <w:rFonts w:ascii="Arial Narrow" w:hAnsi="Arial Narrow"/>
          <w:sz w:val="24"/>
        </w:rPr>
      </w:pPr>
    </w:p>
    <w:tbl>
      <w:tblPr>
        <w:tblW w:w="89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2"/>
        <w:gridCol w:w="5103"/>
        <w:gridCol w:w="992"/>
        <w:gridCol w:w="993"/>
      </w:tblGrid>
      <w:tr>
        <w:trPr>
          <w:trHeight w:val="337"/>
          <w:jc w:val="center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80" w:type="dxa"/>
              <w:bottom w:w="100" w:type="dxa"/>
              <w:right w:w="80" w:type="dxa"/>
            </w:tcMar>
          </w:tcPr>
          <w:p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Stanowisko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80" w:type="dxa"/>
              <w:bottom w:w="100" w:type="dxa"/>
              <w:right w:w="80" w:type="dxa"/>
            </w:tcMar>
          </w:tcPr>
          <w:p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elementy podlegające ocenie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80" w:type="dxa"/>
              <w:bottom w:w="100" w:type="dxa"/>
              <w:right w:w="80" w:type="dxa"/>
            </w:tcMar>
          </w:tcPr>
          <w:p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max. </w:t>
            </w:r>
            <w:r>
              <w:rPr>
                <w:rFonts w:ascii="Arial Narrow" w:hAnsi="Arial Narrow"/>
                <w:b/>
              </w:rPr>
              <w:br/>
              <w:t>liczba pkt.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min.</w:t>
            </w:r>
            <w:r>
              <w:rPr>
                <w:rFonts w:ascii="Arial Narrow" w:hAnsi="Arial Narrow"/>
                <w:b/>
              </w:rPr>
              <w:br/>
              <w:t>liczba pkt.</w:t>
            </w:r>
          </w:p>
        </w:tc>
      </w:tr>
      <w:tr>
        <w:trPr>
          <w:jc w:val="center"/>
        </w:trPr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>
            <w:pPr>
              <w:spacing w:after="0" w:line="23" w:lineRule="atLeas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Doradca </w:t>
            </w:r>
            <w:r>
              <w:rPr>
                <w:rFonts w:ascii="Arial Narrow" w:hAnsi="Arial Narrow"/>
                <w:b/>
              </w:rPr>
              <w:br/>
              <w:t>zawodowy</w:t>
            </w:r>
          </w:p>
          <w:p>
            <w:pPr>
              <w:spacing w:after="0" w:line="23" w:lineRule="atLeast"/>
              <w:ind w:left="52"/>
              <w:jc w:val="both"/>
              <w:rPr>
                <w:rFonts w:ascii="Arial Narrow" w:hAnsi="Arial Narrow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>
            <w:pPr>
              <w:pStyle w:val="Akapitzlist"/>
              <w:numPr>
                <w:ilvl w:val="0"/>
                <w:numId w:val="1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ocena predyspozycji do prowadzenia działalności gospodarczej w formie przedsiębiorstwa społecznego; 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kompetencje branżowe;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postawa inicjatywna; </w:t>
            </w:r>
          </w:p>
          <w:p>
            <w:pPr>
              <w:pStyle w:val="Akapitzlist"/>
              <w:numPr>
                <w:ilvl w:val="0"/>
                <w:numId w:val="2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ocena przygotowania GI w zakresie planu zarządzania </w:t>
            </w:r>
            <w:r>
              <w:rPr>
                <w:rFonts w:ascii="Arial Narrow" w:hAnsi="Arial Narrow"/>
              </w:rPr>
              <w:br/>
              <w:t xml:space="preserve">i zatrudnienia przedsiębiorstwem społecznym, </w:t>
            </w:r>
          </w:p>
          <w:p>
            <w:pPr>
              <w:pStyle w:val="Akapitzlist"/>
              <w:numPr>
                <w:ilvl w:val="0"/>
                <w:numId w:val="2"/>
              </w:numPr>
              <w:spacing w:after="0" w:line="23" w:lineRule="atLeas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strategii wyboru kandydatów pod kątem ich kwalifikacji </w:t>
            </w:r>
            <w:r>
              <w:rPr>
                <w:rFonts w:ascii="Arial Narrow" w:hAnsi="Arial Narrow"/>
              </w:rPr>
              <w:br/>
              <w:t xml:space="preserve">i predyspozycji zawodowych </w:t>
            </w:r>
          </w:p>
          <w:p>
            <w:pPr>
              <w:pStyle w:val="Akapitzlist"/>
              <w:numPr>
                <w:ilvl w:val="0"/>
                <w:numId w:val="2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ocena wartości społecznej przedsięwzięcia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 pkt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15 pkt </w:t>
            </w:r>
          </w:p>
        </w:tc>
      </w:tr>
      <w:tr>
        <w:trPr>
          <w:jc w:val="center"/>
        </w:trPr>
        <w:tc>
          <w:tcPr>
            <w:tcW w:w="186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>
            <w:pPr>
              <w:spacing w:after="0" w:line="23" w:lineRule="atLeas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Doradca interpersonalny</w:t>
            </w:r>
          </w:p>
          <w:p>
            <w:pPr>
              <w:spacing w:after="0" w:line="23" w:lineRule="atLeast"/>
              <w:ind w:left="-142" w:firstLine="142"/>
              <w:jc w:val="both"/>
              <w:rPr>
                <w:rFonts w:ascii="Arial Narrow" w:hAnsi="Arial Narrow"/>
              </w:rPr>
            </w:pPr>
          </w:p>
        </w:tc>
        <w:tc>
          <w:tcPr>
            <w:tcW w:w="5103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>
            <w:pPr>
              <w:spacing w:after="0" w:line="23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Ocena Grupy Inicjatywnej pod względem:</w:t>
            </w:r>
          </w:p>
          <w:p>
            <w:pPr>
              <w:pStyle w:val="Akapitzlist"/>
              <w:numPr>
                <w:ilvl w:val="0"/>
                <w:numId w:val="3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motywacja do podjęcia działalności;</w:t>
            </w:r>
          </w:p>
          <w:p>
            <w:pPr>
              <w:pStyle w:val="Akapitzlist"/>
              <w:numPr>
                <w:ilvl w:val="0"/>
                <w:numId w:val="3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praca zespołowa;</w:t>
            </w:r>
          </w:p>
          <w:p>
            <w:pPr>
              <w:pStyle w:val="Akapitzlist"/>
              <w:numPr>
                <w:ilvl w:val="0"/>
                <w:numId w:val="3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delegowanie uprawnień;</w:t>
            </w:r>
          </w:p>
          <w:p>
            <w:pPr>
              <w:pStyle w:val="Akapitzlist"/>
              <w:numPr>
                <w:ilvl w:val="0"/>
                <w:numId w:val="3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zarządzanie przekazem werbalnym, niewerbalnym;</w:t>
            </w:r>
          </w:p>
          <w:p>
            <w:pPr>
              <w:pStyle w:val="Akapitzlist"/>
              <w:numPr>
                <w:ilvl w:val="0"/>
                <w:numId w:val="3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komunikatywność: nawiązywanie kontaktu, uważność słuchania, nadawania, przemawiania;</w:t>
            </w:r>
          </w:p>
          <w:p>
            <w:pPr>
              <w:pStyle w:val="Akapitzlist"/>
              <w:numPr>
                <w:ilvl w:val="0"/>
                <w:numId w:val="3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kompetencje społeczne oraz umiejętność pracy </w:t>
            </w:r>
            <w:r>
              <w:rPr>
                <w:rFonts w:ascii="Arial Narrow" w:hAnsi="Arial Narrow"/>
              </w:rPr>
              <w:br/>
              <w:t xml:space="preserve">z osobami w trudnych sytuacjach życiowych. </w:t>
            </w:r>
          </w:p>
          <w:p>
            <w:pPr>
              <w:pStyle w:val="Akapitzlist"/>
              <w:numPr>
                <w:ilvl w:val="0"/>
                <w:numId w:val="3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ocena wartości społecznej przedsięwzięcia</w:t>
            </w:r>
          </w:p>
        </w:tc>
        <w:tc>
          <w:tcPr>
            <w:tcW w:w="992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 pkt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 pkt</w:t>
            </w:r>
          </w:p>
        </w:tc>
      </w:tr>
      <w:tr>
        <w:trPr>
          <w:jc w:val="center"/>
        </w:trPr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>
            <w:pPr>
              <w:spacing w:after="0" w:line="23" w:lineRule="atLeas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Doradca </w:t>
            </w:r>
            <w:r>
              <w:rPr>
                <w:rFonts w:ascii="Arial Narrow" w:hAnsi="Arial Narrow"/>
                <w:b/>
              </w:rPr>
              <w:br/>
              <w:t xml:space="preserve">biznesowy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>
            <w:p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Ocena pomysłu na biznes pod względem:</w:t>
            </w:r>
          </w:p>
          <w:p>
            <w:pPr>
              <w:pStyle w:val="Akapitzlist"/>
              <w:numPr>
                <w:ilvl w:val="0"/>
                <w:numId w:val="5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celowość przedsięwzięcia </w:t>
            </w:r>
          </w:p>
          <w:p>
            <w:pPr>
              <w:pStyle w:val="Akapitzlist"/>
              <w:numPr>
                <w:ilvl w:val="0"/>
                <w:numId w:val="4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realności założeń i wykonalność przedsięwzięcia</w:t>
            </w:r>
          </w:p>
          <w:p>
            <w:pPr>
              <w:pStyle w:val="Akapitzlist"/>
              <w:numPr>
                <w:ilvl w:val="0"/>
                <w:numId w:val="4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racjonalność i wykonalność finansowa przedsięwzięcia </w:t>
            </w:r>
          </w:p>
          <w:p>
            <w:pPr>
              <w:pStyle w:val="Akapitzlist"/>
              <w:numPr>
                <w:ilvl w:val="0"/>
                <w:numId w:val="4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potencjał i zasoby grupy </w:t>
            </w:r>
          </w:p>
          <w:p>
            <w:pPr>
              <w:pStyle w:val="Akapitzlist"/>
              <w:numPr>
                <w:ilvl w:val="0"/>
                <w:numId w:val="4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ocena wartości społecznej przedsięwzięcia </w:t>
            </w:r>
          </w:p>
          <w:p>
            <w:pPr>
              <w:pStyle w:val="Akapitzlist"/>
              <w:numPr>
                <w:ilvl w:val="0"/>
                <w:numId w:val="4"/>
              </w:numPr>
              <w:spacing w:after="0" w:line="23" w:lineRule="atLeas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wielowariantowość</w:t>
            </w:r>
            <w:proofErr w:type="spellEnd"/>
          </w:p>
          <w:p>
            <w:pPr>
              <w:pStyle w:val="Akapitzlist"/>
              <w:numPr>
                <w:ilvl w:val="0"/>
                <w:numId w:val="4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trwałość ekonomiczno-finansowa przedsięwzięcia</w:t>
            </w:r>
          </w:p>
          <w:p>
            <w:pPr>
              <w:pStyle w:val="Akapitzlist"/>
              <w:numPr>
                <w:ilvl w:val="0"/>
                <w:numId w:val="4"/>
              </w:numPr>
              <w:spacing w:after="0" w:line="23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kompletność, przejrzystość, zrozumiałość założeń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50 pkt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spacing w:after="0" w:line="23" w:lineRule="atLeast"/>
              <w:ind w:left="-142" w:firstLine="14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 pkt</w:t>
            </w:r>
          </w:p>
        </w:tc>
      </w:tr>
    </w:tbl>
    <w:p>
      <w:pPr>
        <w:rPr>
          <w:rFonts w:ascii="Arial Narrow" w:hAnsi="Arial Narrow"/>
          <w:sz w:val="24"/>
          <w:szCs w:val="24"/>
        </w:rPr>
      </w:pPr>
    </w:p>
    <w:p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Doradcy dokonują oceny merytorycznej grup (ocena punktowa) na podstawie formularza oceny.</w:t>
      </w:r>
    </w:p>
    <w:p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Maksymalna łączna liczby punktów do zdobycia od wszystkich doradców – 100 pkt.</w:t>
      </w:r>
      <w:bookmarkStart w:id="1" w:name="_Hlk164842673"/>
    </w:p>
    <w:p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Minimalna liczba punktów kwalifikująca do dalszego udziału w projekcie – 60 pkt</w:t>
      </w:r>
      <w:bookmarkEnd w:id="1"/>
      <w:r>
        <w:rPr>
          <w:rFonts w:ascii="Arial Narrow" w:hAnsi="Arial Narrow"/>
        </w:rPr>
        <w:t>.</w:t>
      </w:r>
    </w:p>
    <w:p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Od decyzji Komisji nie przysługuje odwołanie. Grupa Inicjatywna nie ma wglądu do kart oceny merytorycznej dokonanej przez każdego z doradców, może natomiast otrzymać informację zwrotną dot. obszarów wymagających dalszej pracy, w przypadku skierowania GI do ponownego wsparcia w IES/CES. </w:t>
      </w:r>
    </w:p>
    <w:p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Grupa Inicjatywna, która nie uzyskała minimum punktowego, ma możliwość ponownego udziału w następnych naborach konkursowych ogłaszanych w ramach Funduszu Przedsiębiorczości Społecznej. </w:t>
      </w:r>
    </w:p>
    <w:p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 przeprowadzonych czynności KOW sporządza protokół. </w:t>
      </w:r>
    </w:p>
    <w:p/>
    <w:sectPr>
      <w:headerReference w:type="default" r:id="rId7"/>
      <w:footerReference w:type="default" r:id="rId8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  <w:tabs>
        <w:tab w:val="clear" w:pos="4536"/>
        <w:tab w:val="clear" w:pos="9072"/>
        <w:tab w:val="left" w:pos="165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4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55994"/>
    <w:multiLevelType w:val="hybridMultilevel"/>
    <w:tmpl w:val="5AEA47B4"/>
    <w:lvl w:ilvl="0" w:tplc="8F24E6D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975DFB"/>
    <w:multiLevelType w:val="hybridMultilevel"/>
    <w:tmpl w:val="CDF25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A64993"/>
    <w:multiLevelType w:val="hybridMultilevel"/>
    <w:tmpl w:val="9A02B2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02195A"/>
    <w:multiLevelType w:val="hybridMultilevel"/>
    <w:tmpl w:val="A4F617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A94A56"/>
    <w:multiLevelType w:val="hybridMultilevel"/>
    <w:tmpl w:val="EEFA9D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0452A1"/>
    <w:multiLevelType w:val="hybridMultilevel"/>
    <w:tmpl w:val="2B1C15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2</cp:revision>
  <dcterms:created xsi:type="dcterms:W3CDTF">2025-07-02T07:53:00Z</dcterms:created>
  <dcterms:modified xsi:type="dcterms:W3CDTF">2025-07-02T07:53:00Z</dcterms:modified>
</cp:coreProperties>
</file>